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Times New Roman" w:cs="Times New Roman" w:hAnsi="Times New Roman" w:eastAsia="Times New Roman"/>
          <w:sz w:val="40"/>
          <w:szCs w:val="40"/>
        </w:rPr>
      </w:pPr>
      <w:r>
        <w:rPr>
          <w:b w:val="1"/>
          <w:bCs w:val="1"/>
          <w:sz w:val="40"/>
          <w:szCs w:val="40"/>
        </w:rPr>
        <w:drawing xmlns:a="http://schemas.openxmlformats.org/drawingml/2006/main">
          <wp:anchor distT="57150" distB="57150" distL="57150" distR="57150" simplePos="0" relativeHeight="251659264" behindDoc="0" locked="0" layoutInCell="1" allowOverlap="1">
            <wp:simplePos x="0" y="0"/>
            <wp:positionH relativeFrom="page">
              <wp:posOffset>4626609</wp:posOffset>
            </wp:positionH>
            <wp:positionV relativeFrom="line">
              <wp:posOffset>0</wp:posOffset>
            </wp:positionV>
            <wp:extent cx="2019300" cy="2708910"/>
            <wp:effectExtent l="0" t="0" r="0" b="0"/>
            <wp:wrapThrough wrapText="bothSides" distL="57150" distR="57150">
              <wp:wrapPolygon edited="1">
                <wp:start x="0" y="0"/>
                <wp:lineTo x="0" y="21601"/>
                <wp:lineTo x="21600" y="21601"/>
                <wp:lineTo x="21600" y="0"/>
                <wp:lineTo x="0" y="0"/>
              </wp:wrapPolygon>
            </wp:wrapThrough>
            <wp:docPr id="1073741825" name="officeArt object" descr="A picture containing person, wall, indoor, person&#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A picture containing person, wall, indoor, personDescription automatically generated" descr="A picture containing person, wall, indoor, personDescription automatically generated"/>
                    <pic:cNvPicPr>
                      <a:picLocks noChangeAspect="1"/>
                    </pic:cNvPicPr>
                  </pic:nvPicPr>
                  <pic:blipFill>
                    <a:blip r:embed="rId4">
                      <a:extLst/>
                    </a:blip>
                    <a:srcRect l="0" t="15904" r="0" b="8655"/>
                    <a:stretch>
                      <a:fillRect/>
                    </a:stretch>
                  </pic:blipFill>
                  <pic:spPr>
                    <a:xfrm>
                      <a:off x="0" y="0"/>
                      <a:ext cx="2019300" cy="2708910"/>
                    </a:xfrm>
                    <a:prstGeom prst="rect">
                      <a:avLst/>
                    </a:prstGeom>
                    <a:ln w="12700" cap="flat">
                      <a:noFill/>
                      <a:miter lim="400000"/>
                    </a:ln>
                    <a:effectLst/>
                  </pic:spPr>
                </pic:pic>
              </a:graphicData>
            </a:graphic>
          </wp:anchor>
        </w:drawing>
      </w:r>
      <w:r>
        <w:rPr>
          <w:rFonts w:ascii="Times New Roman" w:hAnsi="Times New Roman"/>
          <w:b w:val="1"/>
          <w:bCs w:val="1"/>
          <w:i w:val="1"/>
          <w:iCs w:val="1"/>
          <w:sz w:val="40"/>
          <w:szCs w:val="40"/>
          <w:rtl w:val="0"/>
          <w:lang w:val="en-US"/>
        </w:rPr>
        <w:t xml:space="preserve">The High Command   </w:t>
      </w:r>
      <w:r>
        <w:rPr>
          <w:rFonts w:ascii="Times New Roman" w:hAnsi="Times New Roman"/>
          <w:sz w:val="40"/>
          <w:szCs w:val="40"/>
          <w:rtl w:val="0"/>
          <w:lang w:val="da-DK"/>
        </w:rPr>
        <w:t>Eva Hewitt</w:t>
      </w:r>
    </w:p>
    <w:p>
      <w:pPr>
        <w:pStyle w:val="Body"/>
        <w:rPr>
          <w:rFonts w:ascii="Times New Roman" w:cs="Times New Roman" w:hAnsi="Times New Roman" w:eastAsia="Times New Roman"/>
          <w:sz w:val="30"/>
          <w:szCs w:val="30"/>
        </w:rPr>
      </w:pPr>
      <w:r>
        <w:rPr>
          <w:rFonts w:ascii="Times New Roman" w:hAnsi="Times New Roman"/>
          <w:sz w:val="30"/>
          <w:szCs w:val="30"/>
          <w:rtl w:val="0"/>
        </w:rPr>
        <w:t>2023</w:t>
      </w:r>
      <w:r>
        <w:rPr>
          <w:sz w:val="30"/>
          <w:szCs w:val="30"/>
          <w:rtl w:val="0"/>
        </w:rPr>
        <w:t xml:space="preserve">, </w:t>
      </w:r>
      <w:r>
        <w:rPr>
          <w:rFonts w:ascii="Times New Roman" w:hAnsi="Times New Roman"/>
          <w:sz w:val="30"/>
          <w:szCs w:val="30"/>
          <w:rtl w:val="0"/>
          <w:lang w:val="en-US"/>
        </w:rPr>
        <w:t>Oil on Canvas, 240cm x 230cm</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p>
    <w:p>
      <w:pPr>
        <w:pStyle w:val="Body"/>
      </w:pPr>
      <w:r>
        <w:rPr>
          <w:rFonts w:ascii="Times New Roman" w:hAnsi="Times New Roman"/>
          <w:rtl w:val="0"/>
          <w:lang w:val="en-US"/>
        </w:rPr>
        <w:t>Eva M.V. Hewitt is an emerging Scottish Artist based in Glasgow, whose artistic practice comprises the relationship between the earthly and the ethereal. Hewitt</w:t>
      </w:r>
      <w:r>
        <w:rPr>
          <w:rFonts w:ascii="Times New Roman" w:hAnsi="Times New Roman" w:hint="default"/>
          <w:rtl w:val="0"/>
          <w:lang w:val="en-US"/>
        </w:rPr>
        <w:t>’</w:t>
      </w:r>
      <w:r>
        <w:rPr>
          <w:rFonts w:ascii="Times New Roman" w:hAnsi="Times New Roman"/>
          <w:rtl w:val="0"/>
          <w:lang w:val="en-US"/>
        </w:rPr>
        <w:t>s artworks stem from her ongoing search for celestial beauty within this terrestrial realm. With a focus on the circus tent as the background, she has chosen to depict the heavenly figure of Christ at the very centre of this unconventional environment by placing Him in the position of the flying trapeze swinger. Hewitt has paralleled the</w:t>
      </w:r>
      <w:r>
        <w:rPr>
          <w:rFonts w:ascii="Times New Roman" w:hAnsi="Times New Roman"/>
          <w:rtl w:val="0"/>
          <w:lang w:val="en-US"/>
        </w:rPr>
        <w:t xml:space="preserve"> literal act of looking up towards the trapeze swinger whose body is suspended from the trapeze bar, with the metaphorical act of gazing upwards towards the transcendental, and indeed the Crucified Christ who hung from the great height of the cross.</w:t>
      </w:r>
      <w:r>
        <w:rPr>
          <w:rtl w:val="0"/>
          <w:lang w:val="en-US"/>
        </w:rPr>
        <w:t xml:space="preserve"> </w:t>
      </w:r>
      <w:r>
        <w:rPr>
          <w:rFonts w:ascii="Times New Roman" w:hAnsi="Times New Roman"/>
          <w:rtl w:val="0"/>
          <w:lang w:val="en-US"/>
        </w:rPr>
        <w:t xml:space="preserve">By doing so, the artist asks her audience to consider how Christ can be found in all things </w:t>
      </w:r>
      <w:r>
        <w:rPr>
          <w:rFonts w:ascii="Times New Roman" w:hAnsi="Times New Roman" w:hint="default"/>
          <w:rtl w:val="0"/>
          <w:lang w:val="en-US"/>
        </w:rPr>
        <w:t xml:space="preserve">– </w:t>
      </w:r>
      <w:r>
        <w:rPr>
          <w:rFonts w:ascii="Times New Roman" w:hAnsi="Times New Roman"/>
          <w:rtl w:val="0"/>
          <w:lang w:val="en-US"/>
        </w:rPr>
        <w:t xml:space="preserve">even in a world which tries at every opportunity to convince you otherwise. In fact, in a contemporary world where it is very fashionable to partake in the mockery of Christ, Hewitt employs imagery one would associate with clowns and jokers to ultimately elevate the risen Christ even higher. </w:t>
      </w:r>
      <w:r>
        <w:rPr>
          <w:rFonts w:ascii="Times New Roman" w:hAnsi="Times New Roman" w:hint="default"/>
          <w:rtl w:val="0"/>
          <w:lang w:val="en-US"/>
        </w:rPr>
        <w:t>“</w:t>
      </w:r>
      <w:r>
        <w:rPr>
          <w:rFonts w:ascii="Times New Roman" w:hAnsi="Times New Roman"/>
          <w:i w:val="1"/>
          <w:iCs w:val="1"/>
          <w:rtl w:val="0"/>
          <w:lang w:val="en-US"/>
        </w:rPr>
        <w:t>The High Command</w:t>
      </w:r>
      <w:r>
        <w:rPr>
          <w:rFonts w:ascii="Times New Roman" w:hAnsi="Times New Roman" w:hint="default"/>
          <w:rtl w:val="0"/>
          <w:lang w:val="en-US"/>
        </w:rPr>
        <w:t xml:space="preserve">” </w:t>
      </w:r>
      <w:r>
        <w:rPr>
          <w:rFonts w:ascii="Times New Roman" w:hAnsi="Times New Roman"/>
          <w:rtl w:val="0"/>
          <w:lang w:val="en-US"/>
        </w:rPr>
        <w:t>acts as a crescendo of narrative and a unique interpretation of the Ascension of Christ Jesus. Borrowing from artistic masters such as Michelangelo and Alexandre Cabanel, one can notice similarities in Hewitt</w:t>
      </w:r>
      <w:r>
        <w:rPr>
          <w:rFonts w:ascii="Times New Roman" w:hAnsi="Times New Roman" w:hint="default"/>
          <w:rtl w:val="0"/>
          <w:lang w:val="en-US"/>
        </w:rPr>
        <w:t>’</w:t>
      </w:r>
      <w:r>
        <w:rPr>
          <w:rFonts w:ascii="Times New Roman" w:hAnsi="Times New Roman"/>
          <w:rtl w:val="0"/>
          <w:lang w:val="en-US"/>
        </w:rPr>
        <w:t>s narrative, as the busy composition of this visually rich painting is peppered with pictorial references to the Crucifixion, Resurrection, Ascension and the Last Judgement. A sense of hierarchy is reflected as we are greeted with the uplifted forms of the cherubic trapeze swingers, contrary to the bodies which are cast down or engulfed in flames. In addition, the angst-ridden forms which make up the lower portion of Hewitt</w:t>
      </w:r>
      <w:r>
        <w:rPr>
          <w:rFonts w:ascii="Times New Roman" w:hAnsi="Times New Roman" w:hint="default"/>
          <w:rtl w:val="0"/>
          <w:lang w:val="en-US"/>
        </w:rPr>
        <w:t>’</w:t>
      </w:r>
      <w:r>
        <w:rPr>
          <w:rFonts w:ascii="Times New Roman" w:hAnsi="Times New Roman"/>
          <w:rtl w:val="0"/>
          <w:lang w:val="en-US"/>
        </w:rPr>
        <w:t>s painting were directly inspired by Cabanel</w:t>
      </w:r>
      <w:r>
        <w:rPr>
          <w:rFonts w:ascii="Times New Roman" w:hAnsi="Times New Roman" w:hint="default"/>
          <w:rtl w:val="0"/>
          <w:lang w:val="en-US"/>
        </w:rPr>
        <w:t>’</w:t>
      </w:r>
      <w:r>
        <w:rPr>
          <w:rFonts w:ascii="Times New Roman" w:hAnsi="Times New Roman"/>
          <w:rtl w:val="0"/>
          <w:lang w:val="en-US"/>
        </w:rPr>
        <w:t xml:space="preserve">s painting, </w:t>
      </w:r>
      <w:r>
        <w:rPr>
          <w:rFonts w:ascii="Times New Roman" w:hAnsi="Times New Roman" w:hint="default"/>
          <w:i w:val="1"/>
          <w:iCs w:val="1"/>
          <w:rtl w:val="0"/>
          <w:lang w:val="en-US"/>
        </w:rPr>
        <w:t>“</w:t>
      </w:r>
      <w:r>
        <w:rPr>
          <w:rFonts w:ascii="Times New Roman" w:hAnsi="Times New Roman"/>
          <w:i w:val="1"/>
          <w:iCs w:val="1"/>
          <w:rtl w:val="0"/>
          <w:lang w:val="de-DE"/>
        </w:rPr>
        <w:t>The Fallen Angel</w:t>
      </w:r>
      <w:r>
        <w:rPr>
          <w:rFonts w:ascii="Times New Roman" w:hAnsi="Times New Roman" w:hint="default"/>
          <w:rtl w:val="0"/>
          <w:lang w:val="en-US"/>
        </w:rPr>
        <w:t xml:space="preserve">” </w:t>
      </w:r>
      <w:r>
        <w:rPr>
          <w:rFonts w:ascii="Times New Roman" w:hAnsi="Times New Roman"/>
          <w:rtl w:val="0"/>
          <w:lang w:val="en-US"/>
        </w:rPr>
        <w:t>(1847). The artist has illustrated how Lucifer</w:t>
      </w:r>
      <w:r>
        <w:rPr>
          <w:rFonts w:ascii="Times New Roman" w:hAnsi="Times New Roman" w:hint="default"/>
          <w:rtl w:val="0"/>
          <w:lang w:val="en-US"/>
        </w:rPr>
        <w:t>’</w:t>
      </w:r>
      <w:r>
        <w:rPr>
          <w:rFonts w:ascii="Times New Roman" w:hAnsi="Times New Roman"/>
          <w:rtl w:val="0"/>
          <w:lang w:val="en-US"/>
        </w:rPr>
        <w:t xml:space="preserve">s fall from grace could, in this instance, be emphasised by the descending trapeze swinger who is </w:t>
      </w:r>
      <w:r>
        <w:rPr>
          <w:rFonts w:ascii="Times New Roman" w:hAnsi="Times New Roman"/>
          <w:outline w:val="0"/>
          <w:color w:val="202124"/>
          <w:u w:color="202124"/>
          <w:shd w:val="clear" w:color="auto" w:fill="ffffff"/>
          <w:rtl w:val="0"/>
          <w:lang w:val="en-US"/>
          <w14:textFill>
            <w14:solidFill>
              <w14:srgbClr w14:val="202124"/>
            </w14:solidFill>
          </w14:textFill>
        </w:rPr>
        <w:t>expelled from the heavenly realm. There is a sense of youthfulness which pervades this piece, not only in the faces and physiques of the thirty-three figures portrayed, but in the outstretched arms of the children who willingly reach out to adore The Almighty. These particular visuals are intended to communicate the ability of infants to speak to God in a way which adults cannot. Additionally, Hewitt admired the idea that in Heaven, everyone is young. In fact, the Bible indicates that we will know each other more fully than we do now. To expand on this, the heavenly body is transformed so that it will become as glorious as Christ</w:t>
      </w:r>
      <w:r>
        <w:rPr>
          <w:rFonts w:ascii="Times New Roman" w:hAnsi="Times New Roman" w:hint="default"/>
          <w:outline w:val="0"/>
          <w:color w:val="202124"/>
          <w:u w:color="202124"/>
          <w:shd w:val="clear" w:color="auto" w:fill="ffffff"/>
          <w:rtl w:val="0"/>
          <w:lang w:val="en-US"/>
          <w14:textFill>
            <w14:solidFill>
              <w14:srgbClr w14:val="202124"/>
            </w14:solidFill>
          </w14:textFill>
        </w:rPr>
        <w:t>’</w:t>
      </w:r>
      <w:r>
        <w:rPr>
          <w:rFonts w:ascii="Times New Roman" w:hAnsi="Times New Roman"/>
          <w:outline w:val="0"/>
          <w:color w:val="202124"/>
          <w:u w:color="202124"/>
          <w:shd w:val="clear" w:color="auto" w:fill="ffffff"/>
          <w:rtl w:val="0"/>
          <w:lang w:val="en-US"/>
          <w14:textFill>
            <w14:solidFill>
              <w14:srgbClr w14:val="202124"/>
            </w14:solidFill>
          </w14:textFill>
        </w:rPr>
        <w:t>s resurrected body.  Upon this large-scale canvas, Eva Hewitt has presented an amalgamation of the natural and the supernatural in a way that can be read and understood by a large audience. Christ</w:t>
      </w:r>
      <w:r>
        <w:rPr>
          <w:rFonts w:ascii="Times New Roman" w:hAnsi="Times New Roman" w:hint="default"/>
          <w:outline w:val="0"/>
          <w:color w:val="202124"/>
          <w:u w:color="202124"/>
          <w:shd w:val="clear" w:color="auto" w:fill="ffffff"/>
          <w:rtl w:val="0"/>
          <w:lang w:val="en-US"/>
          <w14:textFill>
            <w14:solidFill>
              <w14:srgbClr w14:val="202124"/>
            </w14:solidFill>
          </w14:textFill>
        </w:rPr>
        <w:t>’</w:t>
      </w:r>
      <w:r>
        <w:rPr>
          <w:rFonts w:ascii="Times New Roman" w:hAnsi="Times New Roman"/>
          <w:outline w:val="0"/>
          <w:color w:val="202124"/>
          <w:u w:color="202124"/>
          <w:shd w:val="clear" w:color="auto" w:fill="ffffff"/>
          <w:rtl w:val="0"/>
          <w:lang w:val="en-US"/>
          <w14:textFill>
            <w14:solidFill>
              <w14:srgbClr w14:val="202124"/>
            </w14:solidFill>
          </w14:textFill>
        </w:rPr>
        <w:t xml:space="preserve">s commanding presence is not only recognised thorough His physical body which occupies the central portion of the canvas, but in the significance of His underlying muscular strength and intense eye contact, as the only figure whose eyes gaze directly back at the viewer. He remains unphased and unscathed by the border of chaos around Him. </w:t>
      </w:r>
    </w:p>
    <w:sectPr>
      <w:headerReference w:type="default" r:id="rId5"/>
      <w:footerReference w:type="default" r:id="rId6"/>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